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76" w:lineRule="auto"/>
      </w:pPr>
      <w:r>
        <w:rPr>
          <w:rFonts w:ascii="Calibri" w:hAnsi="Calibri" w:eastAsia="Calibri"/>
          <w:b/>
          <w:i w:val="0"/>
          <w:color w:val="3D2B1F"/>
          <w:sz w:val="32"/>
        </w:rPr>
        <w:t>Cruickshanks Agency</w:t>
      </w:r>
    </w:p>
    <w:p>
      <w:pPr>
        <w:spacing w:after="40" w:before="0" w:line="276" w:lineRule="auto"/>
      </w:pPr>
      <w:r>
        <w:rPr>
          <w:rFonts w:ascii="Calibri" w:hAnsi="Calibri" w:eastAsia="Calibri"/>
          <w:b w:val="0"/>
          <w:i w:val="0"/>
          <w:color w:val="7A6E65"/>
          <w:sz w:val="20"/>
        </w:rPr>
        <w:t>Confidential  ·  FAPF-2026-0826</w:t>
      </w:r>
    </w:p>
    <w:p>
      <w:pPr>
        <w:spacing w:after="200" w:before="80" w:line="276" w:lineRule="auto"/>
        <w:pBdr>
          <w:bottom w:val="single" w:sz="12" w:space="1" w:color="1C1208"/>
        </w:pBdr>
      </w:pPr>
    </w:p>
    <w:p>
      <w:pPr>
        <w:spacing w:after="80" w:before="160" w:line="276" w:lineRule="auto"/>
      </w:pPr>
      <w:r>
        <w:rPr>
          <w:rFonts w:ascii="Calibri" w:hAnsi="Calibri" w:eastAsia="Calibri"/>
          <w:b/>
          <w:i w:val="0"/>
          <w:color w:val="1A1613"/>
          <w:sz w:val="44"/>
        </w:rPr>
        <w:t>Policy Filter briefing</w:t>
      </w:r>
    </w:p>
    <w:p>
      <w:pPr>
        <w:spacing w:after="240" w:before="0" w:line="276" w:lineRule="auto"/>
      </w:pPr>
      <w:r>
        <w:rPr>
          <w:rFonts w:ascii="Calibri" w:hAnsi="Calibri" w:eastAsia="Calibri"/>
          <w:b w:val="0"/>
          <w:i w:val="0"/>
          <w:color w:val="7A6E65"/>
          <w:sz w:val="22"/>
        </w:rPr>
        <w:t>Laddr / TruePillars  ·  Meta finance ads</w:t>
      </w:r>
    </w:p>
    <w:tbl>
      <w:tblPr>
        <w:tblW w:type="auto" w:w="0"/>
        <w:jc w:val="center"/>
        <w:tblLayout w:type="autofit"/>
        <w:tblLook w:firstColumn="1" w:firstRow="1" w:lastColumn="0" w:lastRow="0" w:noHBand="0" w:noVBand="1" w:val="04A0"/>
        <w:tblBorders>
          <w:top w:val="single" w:sz="4" w:space="0" w:color="DDD6CC"/>
          <w:left w:val="single" w:sz="4" w:space="0" w:color="DDD6CC"/>
          <w:bottom w:val="single" w:sz="4" w:space="0" w:color="DDD6CC"/>
          <w:right w:val="single" w:sz="4" w:space="0" w:color="DDD6CC"/>
          <w:insideH w:val="single" w:sz="4" w:space="0" w:color="DDD6CC"/>
          <w:insideV w:val="single" w:sz="4" w:space="0" w:color="DDD6CC"/>
        </w:tblBorders>
      </w:tblPr>
      <w:tblGrid>
        <w:gridCol w:w="4706"/>
        <w:gridCol w:w="4706"/>
      </w:tblGrid>
      <w:tr>
        <w:tc>
          <w:tcPr>
            <w:tcW w:type="dxa" w:w="4706"/>
            <w:shd w:fill="FAF7F3" w:val="clear"/>
            <w:tcMar>
              <w:top w:w="160" w:type="dxa"/>
              <w:bottom w:w="160" w:type="dxa"/>
              <w:left w:w="160" w:type="dxa"/>
              <w:right w:w="160" w:type="dxa"/>
            </w:tcMar>
            <w:tcMar>
              <w:top w:w="160" w:type="dxa"/>
              <w:bottom w:w="160" w:type="dxa"/>
              <w:left w:w="160" w:type="dxa"/>
              <w:right w:w="160" w:type="dxa"/>
            </w:tcMar>
            <w:tcMar>
              <w:top w:w="160" w:type="dxa"/>
              <w:bottom w:w="160" w:type="dxa"/>
              <w:left w:w="160" w:type="dxa"/>
              <w:right w:w="160" w:type="dxa"/>
            </w:tcMar>
            <w:tcMar>
              <w:top w:w="160" w:type="dxa"/>
              <w:bottom w:w="160" w:type="dxa"/>
              <w:left w:w="160" w:type="dxa"/>
              <w:right w:w="160" w:type="dxa"/>
            </w:tcMar>
          </w:tcPr>
          <w:p>
            <w:pPr>
              <w:spacing w:after="0" w:before="0" w:line="276" w:lineRule="auto"/>
            </w:pPr>
            <w:r/>
            <w:r>
              <w:rPr>
                <w:rFonts w:ascii="Calibri" w:hAnsi="Calibri" w:eastAsia="Calibri"/>
                <w:b w:val="0"/>
                <w:i w:val="0"/>
                <w:color w:val="7A6E65"/>
                <w:sz w:val="18"/>
              </w:rPr>
              <w:t>Prepared for</w:t>
            </w:r>
          </w:p>
          <w:p>
            <w:pPr>
              <w:spacing w:after="40" w:before="0" w:line="276" w:lineRule="auto"/>
            </w:pPr>
            <w:r>
              <w:rPr>
                <w:rFonts w:ascii="Calibri" w:hAnsi="Calibri" w:eastAsia="Calibri"/>
                <w:b/>
                <w:i w:val="0"/>
                <w:color w:val="1A1613"/>
                <w:sz w:val="22"/>
              </w:rPr>
              <w:t>Laddr (TruePillars Pty Ltd)</w:t>
            </w:r>
          </w:p>
        </w:tc>
        <w:tc>
          <w:tcPr>
            <w:tcW w:type="dxa" w:w="4706"/>
            <w:tcMar>
              <w:top w:w="160" w:type="dxa"/>
              <w:bottom w:w="160" w:type="dxa"/>
              <w:left w:w="160" w:type="dxa"/>
              <w:right w:w="160" w:type="dxa"/>
            </w:tcMar>
            <w:shd w:fill="FAF7F3" w:val="clear"/>
            <w:tcMar>
              <w:top w:w="160" w:type="dxa"/>
              <w:bottom w:w="160" w:type="dxa"/>
              <w:left w:w="160" w:type="dxa"/>
              <w:right w:w="160" w:type="dxa"/>
            </w:tcMar>
            <w:tcMar>
              <w:top w:w="160" w:type="dxa"/>
              <w:bottom w:w="160" w:type="dxa"/>
              <w:left w:w="160" w:type="dxa"/>
              <w:right w:w="160" w:type="dxa"/>
            </w:tcMar>
            <w:tcMar>
              <w:top w:w="160" w:type="dxa"/>
              <w:bottom w:w="160" w:type="dxa"/>
              <w:left w:w="160" w:type="dxa"/>
              <w:right w:w="160" w:type="dxa"/>
            </w:tcMar>
          </w:tcPr>
          <w:p>
            <w:pPr>
              <w:spacing w:after="0" w:before="0" w:line="276" w:lineRule="auto"/>
            </w:pPr>
            <w:r/>
            <w:r>
              <w:rPr>
                <w:rFonts w:ascii="Calibri" w:hAnsi="Calibri" w:eastAsia="Calibri"/>
                <w:b w:val="0"/>
                <w:i w:val="0"/>
                <w:color w:val="7A6E65"/>
                <w:sz w:val="18"/>
              </w:rPr>
              <w:t>Prepared by</w:t>
            </w:r>
          </w:p>
          <w:p>
            <w:pPr>
              <w:spacing w:after="40" w:before="0" w:line="276" w:lineRule="auto"/>
            </w:pPr>
            <w:r>
              <w:rPr>
                <w:rFonts w:ascii="Calibri" w:hAnsi="Calibri" w:eastAsia="Calibri"/>
                <w:b/>
                <w:i w:val="0"/>
                <w:color w:val="1A1613"/>
                <w:sz w:val="22"/>
              </w:rPr>
              <w:t>Cruickshanks Agency</w:t>
            </w:r>
          </w:p>
        </w:tc>
      </w:tr>
      <w:tr>
        <w:tc>
          <w:tcPr>
            <w:tcW w:type="dxa" w:w="4706"/>
            <w:tcMar>
              <w:top w:w="160" w:type="dxa"/>
              <w:bottom w:w="160" w:type="dxa"/>
              <w:left w:w="160" w:type="dxa"/>
              <w:right w:w="160" w:type="dxa"/>
            </w:tcMar>
            <w:tcMar>
              <w:top w:w="160" w:type="dxa"/>
              <w:bottom w:w="160" w:type="dxa"/>
              <w:left w:w="160" w:type="dxa"/>
              <w:right w:w="160" w:type="dxa"/>
            </w:tcMar>
            <w:shd w:fill="FAF7F3" w:val="clear"/>
            <w:tcMar>
              <w:top w:w="160" w:type="dxa"/>
              <w:bottom w:w="160" w:type="dxa"/>
              <w:left w:w="160" w:type="dxa"/>
              <w:right w:w="160" w:type="dxa"/>
            </w:tcMar>
            <w:tcMar>
              <w:top w:w="160" w:type="dxa"/>
              <w:bottom w:w="160" w:type="dxa"/>
              <w:left w:w="160" w:type="dxa"/>
              <w:right w:w="160" w:type="dxa"/>
            </w:tcMar>
          </w:tcPr>
          <w:p>
            <w:pPr>
              <w:spacing w:after="0" w:before="0" w:line="276" w:lineRule="auto"/>
            </w:pPr>
            <w:r/>
            <w:r>
              <w:rPr>
                <w:rFonts w:ascii="Calibri" w:hAnsi="Calibri" w:eastAsia="Calibri"/>
                <w:b w:val="0"/>
                <w:i w:val="0"/>
                <w:color w:val="7A6E65"/>
                <w:sz w:val="18"/>
              </w:rPr>
              <w:t>Date</w:t>
            </w:r>
          </w:p>
          <w:p>
            <w:pPr>
              <w:spacing w:after="40" w:before="0" w:line="276" w:lineRule="auto"/>
            </w:pPr>
            <w:r>
              <w:rPr>
                <w:rFonts w:ascii="Calibri" w:hAnsi="Calibri" w:eastAsia="Calibri"/>
                <w:b/>
                <w:i w:val="0"/>
                <w:color w:val="1A1613"/>
                <w:sz w:val="22"/>
              </w:rPr>
              <w:t>26 August 2026</w:t>
            </w:r>
          </w:p>
        </w:tc>
        <w:tc>
          <w:tcPr>
            <w:tcW w:type="dxa" w:w="4706"/>
            <w:tcMar>
              <w:top w:w="160" w:type="dxa"/>
              <w:bottom w:w="160" w:type="dxa"/>
              <w:left w:w="160" w:type="dxa"/>
              <w:right w:w="160" w:type="dxa"/>
            </w:tcMar>
            <w:tcMar>
              <w:top w:w="160" w:type="dxa"/>
              <w:bottom w:w="160" w:type="dxa"/>
              <w:left w:w="160" w:type="dxa"/>
              <w:right w:w="160" w:type="dxa"/>
            </w:tcMar>
            <w:tcMar>
              <w:top w:w="160" w:type="dxa"/>
              <w:bottom w:w="160" w:type="dxa"/>
              <w:left w:w="160" w:type="dxa"/>
              <w:right w:w="160" w:type="dxa"/>
            </w:tcMar>
            <w:shd w:fill="FAF7F3" w:val="clear"/>
            <w:tcMar>
              <w:top w:w="160" w:type="dxa"/>
              <w:bottom w:w="160" w:type="dxa"/>
              <w:left w:w="160" w:type="dxa"/>
              <w:right w:w="160" w:type="dxa"/>
            </w:tcMar>
          </w:tcPr>
          <w:p>
            <w:pPr>
              <w:spacing w:after="0" w:before="0" w:line="276" w:lineRule="auto"/>
            </w:pPr>
            <w:r/>
            <w:r>
              <w:rPr>
                <w:rFonts w:ascii="Calibri" w:hAnsi="Calibri" w:eastAsia="Calibri"/>
                <w:b w:val="0"/>
                <w:i w:val="0"/>
                <w:color w:val="7A6E65"/>
                <w:sz w:val="18"/>
              </w:rPr>
              <w:t>Landing page</w:t>
            </w:r>
          </w:p>
          <w:p>
            <w:pPr>
              <w:spacing w:after="40" w:before="0" w:line="276" w:lineRule="auto"/>
            </w:pPr>
            <w:r>
              <w:rPr>
                <w:rFonts w:ascii="Calibri" w:hAnsi="Calibri" w:eastAsia="Calibri"/>
                <w:b/>
                <w:i w:val="0"/>
                <w:color w:val="1A1613"/>
                <w:sz w:val="22"/>
              </w:rPr>
              <w:t>laddr.com.au/get-pre-approved</w:t>
            </w:r>
          </w:p>
        </w:tc>
      </w:tr>
    </w:tbl>
    <w:p/>
    <w:p>
      <w:pPr>
        <w:spacing w:after="80" w:before="80" w:line="276" w:lineRule="auto"/>
      </w:pPr>
      <w:r>
        <w:rPr>
          <w:rFonts w:ascii="Calibri" w:hAnsi="Calibri" w:eastAsia="Calibri"/>
          <w:b/>
          <w:i w:val="0"/>
          <w:color w:val="7A6E65"/>
          <w:sz w:val="18"/>
        </w:rPr>
        <w:t>VERDICT</w:t>
      </w:r>
    </w:p>
    <w:p>
      <w:pPr>
        <w:spacing w:after="160" w:before="0" w:line="276" w:lineRule="auto"/>
      </w:pPr>
      <w:r>
        <w:rPr>
          <w:rFonts w:ascii="Calibri" w:hAnsi="Calibri" w:eastAsia="Calibri"/>
          <w:b/>
          <w:i w:val="0"/>
          <w:color w:val="8B3A2A"/>
          <w:sz w:val="24"/>
        </w:rPr>
        <w:t>High risk</w:t>
      </w:r>
      <w:r>
        <w:rPr>
          <w:rFonts w:ascii="Calibri" w:hAnsi="Calibri" w:eastAsia="Calibri"/>
          <w:b w:val="0"/>
          <w:i w:val="0"/>
          <w:color w:val="1A1613"/>
          <w:sz w:val="22"/>
        </w:rPr>
        <w:t xml:space="preserve">  —  Do not upload this creative until the rewrite is live.</w:t>
      </w:r>
    </w:p>
    <w:p>
      <w:pPr>
        <w:spacing w:after="160" w:before="0" w:line="276" w:lineRule="auto"/>
      </w:pPr>
      <w:r>
        <w:rPr>
          <w:rFonts w:ascii="Calibri" w:hAnsi="Calibri" w:eastAsia="Calibri"/>
          <w:b w:val="0"/>
          <w:i w:val="0"/>
          <w:color w:val="1A1613"/>
          <w:sz w:val="22"/>
        </w:rPr>
        <w:t>This ad set and landing page are likely to be rejected again. Problem-first questions, second-person financial assumptions, and absolute speed claims sit in Meta’s personal-attributes and misleading-business-practices buckets, and they also fail ASIC credit-advertising standards. Lead with eligibility and product, drop “your” plus cashflow or invoices, and soften timing to “Pre-approval available” before anything is resubmitted.</w:t>
      </w:r>
    </w:p>
    <w:p>
      <w:pPr>
        <w:spacing w:after="80" w:before="80" w:line="276" w:lineRule="auto"/>
      </w:pPr>
      <w:r>
        <w:rPr>
          <w:rFonts w:ascii="Calibri" w:hAnsi="Calibri" w:eastAsia="Calibri"/>
          <w:b/>
          <w:i w:val="0"/>
          <w:color w:val="7A6E65"/>
          <w:sz w:val="18"/>
        </w:rPr>
        <w:t>ACCOUNT</w:t>
      </w:r>
    </w:p>
    <w:p>
      <w:pPr>
        <w:spacing w:after="160" w:before="0" w:line="276" w:lineRule="auto"/>
      </w:pPr>
      <w:r>
        <w:rPr>
          <w:rFonts w:ascii="Calibri" w:hAnsi="Calibri" w:eastAsia="Calibri"/>
          <w:b w:val="0"/>
          <w:i w:val="0"/>
          <w:color w:val="1A1613"/>
          <w:sz w:val="22"/>
        </w:rPr>
        <w:t>Meta ads account is restricted. Business Verification is still pending. Ads were rejected on 10 August 2026 for “Misleading business practices”. Do not appeal those ads with the same copy.</w:t>
      </w:r>
    </w:p>
    <w:p>
      <w:pPr>
        <w:spacing w:after="160" w:before="0" w:line="276" w:lineRule="auto"/>
      </w:pPr>
      <w:r>
        <w:rPr>
          <w:rFonts w:ascii="Calibri" w:hAnsi="Calibri" w:eastAsia="Calibri"/>
          <w:b w:val="0"/>
          <w:i w:val="0"/>
          <w:color w:val="7A6E65"/>
          <w:sz w:val="20"/>
        </w:rPr>
        <w:t>Offer: Reece trade cashflow facility, apply for up to $250k. Credit provided by TruePillars Pty Ltd ABN 36 603 933 508.</w:t>
      </w:r>
    </w:p>
    <w:p>
      <w:pPr>
        <w:spacing w:after="160" w:before="320" w:line="276" w:lineRule="auto"/>
      </w:pPr>
      <w:r>
        <w:rPr>
          <w:rFonts w:ascii="Calibri" w:hAnsi="Calibri" w:eastAsia="Calibri"/>
          <w:b/>
          <w:i w:val="0"/>
          <w:color w:val="3D2B1F"/>
          <w:sz w:val="28"/>
        </w:rPr>
        <w:t>Recommended copy</w:t>
      </w:r>
    </w:p>
    <w:tbl>
      <w:tblPr>
        <w:tblW w:type="auto" w:w="0"/>
        <w:jc w:val="center"/>
        <w:tblLayout w:type="autofit"/>
        <w:tblLook w:firstColumn="1" w:firstRow="1" w:lastColumn="0" w:lastRow="0" w:noHBand="0" w:noVBand="1" w:val="04A0"/>
        <w:tblBorders>
          <w:top w:val="single" w:sz="4" w:space="0" w:color="DDD6CC"/>
          <w:left w:val="single" w:sz="4" w:space="0" w:color="DDD6CC"/>
          <w:bottom w:val="single" w:sz="4" w:space="0" w:color="DDD6CC"/>
          <w:right w:val="single" w:sz="4" w:space="0" w:color="DDD6CC"/>
          <w:insideH w:val="single" w:sz="4" w:space="0" w:color="DDD6CC"/>
          <w:insideV w:val="single" w:sz="4" w:space="0" w:color="DDD6CC"/>
        </w:tblBorders>
      </w:tblPr>
      <w:tblGrid>
        <w:gridCol w:w="4706"/>
        <w:gridCol w:w="4706"/>
      </w:tblGrid>
      <w:tr>
        <w:tc>
          <w:tcPr>
            <w:tcW w:type="dxa" w:w="2381"/>
            <w:shd w:fill="F2EDE6" w:val="clear"/>
            <w:tcMar>
              <w:top w:w="140" w:type="dxa"/>
              <w:bottom w:w="140" w:type="dxa"/>
              <w:left w:w="160" w:type="dxa"/>
              <w:right w:w="160" w:type="dxa"/>
            </w:tcMar>
          </w:tcPr>
          <w:p>
            <w:pPr>
              <w:spacing w:after="0" w:before="0" w:line="276" w:lineRule="auto"/>
              <w:ind w:left="28" w:right="28"/>
            </w:pPr>
            <w:r/>
            <w:r>
              <w:rPr>
                <w:rFonts w:ascii="Calibri" w:hAnsi="Calibri" w:eastAsia="Calibri"/>
                <w:b/>
                <w:i w:val="0"/>
                <w:color w:val="7A6E65"/>
                <w:sz w:val="18"/>
              </w:rPr>
              <w:t>Field</w:t>
            </w:r>
          </w:p>
        </w:tc>
        <w:tc>
          <w:tcPr>
            <w:tcW w:type="dxa" w:w="7030"/>
            <w:shd w:fill="F2EDE6" w:val="clear"/>
            <w:tcMar>
              <w:top w:w="140" w:type="dxa"/>
              <w:bottom w:w="140" w:type="dxa"/>
              <w:left w:w="160" w:type="dxa"/>
              <w:right w:w="160" w:type="dxa"/>
            </w:tcMar>
          </w:tcPr>
          <w:p>
            <w:pPr>
              <w:spacing w:after="0" w:before="0" w:line="276" w:lineRule="auto"/>
              <w:ind w:left="28" w:right="28"/>
            </w:pPr>
            <w:r/>
            <w:r>
              <w:rPr>
                <w:rFonts w:ascii="Calibri" w:hAnsi="Calibri" w:eastAsia="Calibri"/>
                <w:b/>
                <w:i w:val="0"/>
                <w:color w:val="7A6E65"/>
                <w:sz w:val="18"/>
              </w:rPr>
              <w:t>Use this</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Primary text</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1A1613"/>
                <w:sz w:val="20"/>
              </w:rPr>
              <w:t>Eligible Reece trade customers can apply for up to $250k in Laddr cashflow. Assessment is based on Reece trading history. Pre-approval available. Eligibility criteria applies. Credit provided by TruePillars Pty Ltd ABN 36 603 933 508.</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Headline</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1A1613"/>
                <w:sz w:val="20"/>
              </w:rPr>
              <w:t>Cashflow for Eligible Reece Customers</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Description</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1A1613"/>
                <w:sz w:val="20"/>
              </w:rPr>
              <w:t>Assessed on Reece trading history</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On-image overlay</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1A1613"/>
                <w:sz w:val="20"/>
              </w:rPr>
              <w:t>Cashflow for Reece trade customers — apply for up to $250k</w:t>
            </w:r>
          </w:p>
        </w:tc>
      </w:tr>
    </w:tbl>
    <w:p>
      <w:pPr>
        <w:spacing w:after="160" w:before="320" w:line="276" w:lineRule="auto"/>
      </w:pPr>
      <w:r>
        <w:rPr>
          <w:rFonts w:ascii="Calibri" w:hAnsi="Calibri" w:eastAsia="Calibri"/>
          <w:b/>
          <w:i w:val="0"/>
          <w:color w:val="3D2B1F"/>
          <w:sz w:val="28"/>
        </w:rPr>
        <w:t>Current copy — do not use</w:t>
      </w:r>
    </w:p>
    <w:tbl>
      <w:tblPr>
        <w:tblW w:type="auto" w:w="0"/>
        <w:jc w:val="center"/>
        <w:tblLayout w:type="autofit"/>
        <w:tblLook w:firstColumn="1" w:firstRow="1" w:lastColumn="0" w:lastRow="0" w:noHBand="0" w:noVBand="1" w:val="04A0"/>
        <w:tblBorders>
          <w:top w:val="single" w:sz="4" w:space="0" w:color="DDD6CC"/>
          <w:left w:val="single" w:sz="4" w:space="0" w:color="DDD6CC"/>
          <w:bottom w:val="single" w:sz="4" w:space="0" w:color="DDD6CC"/>
          <w:right w:val="single" w:sz="4" w:space="0" w:color="DDD6CC"/>
          <w:insideH w:val="single" w:sz="4" w:space="0" w:color="DDD6CC"/>
          <w:insideV w:val="single" w:sz="4" w:space="0" w:color="DDD6CC"/>
        </w:tblBorders>
      </w:tblPr>
      <w:tblGrid>
        <w:gridCol w:w="4706"/>
        <w:gridCol w:w="4706"/>
      </w:tblGrid>
      <w:tr>
        <w:tc>
          <w:tcPr>
            <w:tcW w:type="dxa" w:w="2381"/>
            <w:shd w:fill="F2EDE6" w:val="clear"/>
            <w:tcMar>
              <w:top w:w="140" w:type="dxa"/>
              <w:bottom w:w="140" w:type="dxa"/>
              <w:left w:w="160" w:type="dxa"/>
              <w:right w:w="160" w:type="dxa"/>
            </w:tcMar>
          </w:tcPr>
          <w:p>
            <w:pPr>
              <w:spacing w:after="0" w:before="0" w:line="276" w:lineRule="auto"/>
              <w:ind w:left="28" w:right="28"/>
            </w:pPr>
            <w:r/>
            <w:r>
              <w:rPr>
                <w:rFonts w:ascii="Calibri" w:hAnsi="Calibri" w:eastAsia="Calibri"/>
                <w:b/>
                <w:i w:val="0"/>
                <w:color w:val="7A6E65"/>
                <w:sz w:val="18"/>
              </w:rPr>
              <w:t>Field</w:t>
            </w:r>
          </w:p>
        </w:tc>
        <w:tc>
          <w:tcPr>
            <w:tcW w:type="dxa" w:w="7030"/>
            <w:shd w:fill="F2EDE6" w:val="clear"/>
            <w:tcMar>
              <w:top w:w="140" w:type="dxa"/>
              <w:bottom w:w="140" w:type="dxa"/>
              <w:left w:w="160" w:type="dxa"/>
              <w:right w:w="160" w:type="dxa"/>
            </w:tcMar>
          </w:tcPr>
          <w:p>
            <w:pPr>
              <w:spacing w:after="0" w:before="0" w:line="276" w:lineRule="auto"/>
              <w:ind w:left="28" w:right="28"/>
            </w:pPr>
            <w:r/>
            <w:r>
              <w:rPr>
                <w:rFonts w:ascii="Calibri" w:hAnsi="Calibri" w:eastAsia="Calibri"/>
                <w:b/>
                <w:i w:val="0"/>
                <w:color w:val="7A6E65"/>
                <w:sz w:val="18"/>
              </w:rPr>
              <w:t>Submitted</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Primary text</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7A6E65"/>
                <w:sz w:val="20"/>
              </w:rPr>
              <w:t>Still waiting on that invoice? Don't let it hold up the next job. Reece trade customers can apply for up to $250k in Laddr cashflow, pre-approval today, funds within 48 hours. Eligibility criteria applies.</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Headline</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7A6E65"/>
                <w:sz w:val="20"/>
              </w:rPr>
              <w:t>Haven't been paid yet?</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Description</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7A6E65"/>
                <w:sz w:val="20"/>
              </w:rPr>
              <w:t>Get Cashflow While You Wait</w:t>
            </w:r>
          </w:p>
        </w:tc>
      </w:tr>
      <w:tr>
        <w:tc>
          <w:tcPr>
            <w:tcW w:type="dxa" w:w="2381"/>
            <w:tcMar>
              <w:top w:w="140" w:type="dxa"/>
              <w:bottom w:w="140" w:type="dxa"/>
              <w:left w:w="160" w:type="dxa"/>
              <w:right w:w="160" w:type="dxa"/>
            </w:tcMar>
          </w:tcPr>
          <w:p>
            <w:pPr>
              <w:spacing w:after="0" w:before="0" w:line="276" w:lineRule="auto"/>
              <w:ind w:left="28" w:right="28"/>
            </w:pPr>
            <w:r/>
            <w:r>
              <w:rPr>
                <w:rFonts w:ascii="Calibri" w:hAnsi="Calibri" w:eastAsia="Calibri"/>
                <w:b/>
                <w:i w:val="0"/>
                <w:color w:val="3D2B1F"/>
                <w:sz w:val="20"/>
              </w:rPr>
              <w:t>On-image overlay</w:t>
            </w:r>
          </w:p>
        </w:tc>
        <w:tc>
          <w:tcPr>
            <w:tcW w:type="dxa" w:w="7030"/>
            <w:tcMar>
              <w:top w:w="140" w:type="dxa"/>
              <w:bottom w:w="140" w:type="dxa"/>
              <w:left w:w="160" w:type="dxa"/>
              <w:right w:w="160" w:type="dxa"/>
            </w:tcMar>
          </w:tcPr>
          <w:p>
            <w:pPr>
              <w:spacing w:after="0" w:before="0" w:line="276" w:lineRule="auto"/>
              <w:ind w:left="28" w:right="28"/>
            </w:pPr>
            <w:r/>
            <w:r>
              <w:rPr>
                <w:rFonts w:ascii="Calibri" w:hAnsi="Calibri" w:eastAsia="Calibri"/>
                <w:b w:val="0"/>
                <w:i w:val="0"/>
                <w:color w:val="7A6E65"/>
                <w:sz w:val="20"/>
              </w:rPr>
              <w:t>Haven't been paid yet? Apply for Cashflow up to $250k</w:t>
            </w:r>
          </w:p>
        </w:tc>
      </w:tr>
    </w:tbl>
    <w:p>
      <w:pPr>
        <w:spacing w:after="160" w:before="320" w:line="276" w:lineRule="auto"/>
      </w:pPr>
      <w:r>
        <w:rPr>
          <w:rFonts w:ascii="Calibri" w:hAnsi="Calibri" w:eastAsia="Calibri"/>
          <w:b/>
          <w:i w:val="0"/>
          <w:color w:val="3D2B1F"/>
          <w:sz w:val="28"/>
        </w:rPr>
        <w:t>Why it fails</w:t>
      </w:r>
    </w:p>
    <w:p>
      <w:pPr>
        <w:spacing w:after="40" w:before="120" w:line="276" w:lineRule="auto"/>
      </w:pPr>
      <w:r>
        <w:rPr>
          <w:rFonts w:ascii="Calibri" w:hAnsi="Calibri" w:eastAsia="Calibri"/>
          <w:b/>
          <w:i w:val="0"/>
          <w:color w:val="1A1613"/>
          <w:sz w:val="22"/>
        </w:rPr>
        <w:t>1.  Implies the viewer has not been paid</w:t>
      </w:r>
    </w:p>
    <w:p>
      <w:pPr>
        <w:spacing w:after="40" w:before="0" w:line="276" w:lineRule="auto"/>
      </w:pPr>
      <w:r>
        <w:rPr>
          <w:rFonts w:ascii="Calibri" w:hAnsi="Calibri" w:eastAsia="Calibri"/>
          <w:b w:val="0"/>
          <w:i w:val="0"/>
          <w:color w:val="7A6E65"/>
          <w:sz w:val="18"/>
        </w:rPr>
        <w:t>Meta Ads Policies · high</w:t>
      </w:r>
    </w:p>
    <w:p>
      <w:pPr>
        <w:spacing w:after="40" w:before="0" w:line="276" w:lineRule="auto"/>
      </w:pPr>
      <w:r>
        <w:rPr>
          <w:rFonts w:ascii="Calibri" w:hAnsi="Calibri" w:eastAsia="Calibri"/>
          <w:b w:val="0"/>
          <w:i w:val="0"/>
          <w:color w:val="1A1613"/>
          <w:sz w:val="20"/>
        </w:rPr>
        <w:t>Ads must not assert or imply knowledge of a viewer’s financial situation.</w:t>
      </w:r>
    </w:p>
    <w:p>
      <w:pPr>
        <w:spacing w:after="160" w:before="0" w:line="276" w:lineRule="auto"/>
      </w:pPr>
      <w:r>
        <w:rPr>
          <w:rFonts w:ascii="Calibri" w:hAnsi="Calibri" w:eastAsia="Calibri"/>
          <w:b w:val="0"/>
          <w:i/>
          <w:color w:val="7A6E65"/>
          <w:sz w:val="20"/>
        </w:rPr>
        <w:t>“Haven't been paid yet? / Still waiting on that invoice? / Get Cashflow While You Wait”</w:t>
      </w:r>
    </w:p>
    <w:p>
      <w:pPr>
        <w:spacing w:after="40" w:before="120" w:line="276" w:lineRule="auto"/>
      </w:pPr>
      <w:r>
        <w:rPr>
          <w:rFonts w:ascii="Calibri" w:hAnsi="Calibri" w:eastAsia="Calibri"/>
          <w:b/>
          <w:i w:val="0"/>
          <w:color w:val="1A1613"/>
          <w:sz w:val="22"/>
        </w:rPr>
        <w:t>2.  “Your” plus trading history or cashflow</w:t>
      </w:r>
    </w:p>
    <w:p>
      <w:pPr>
        <w:spacing w:after="40" w:before="0" w:line="276" w:lineRule="auto"/>
      </w:pPr>
      <w:r>
        <w:rPr>
          <w:rFonts w:ascii="Calibri" w:hAnsi="Calibri" w:eastAsia="Calibri"/>
          <w:b w:val="0"/>
          <w:i w:val="0"/>
          <w:color w:val="7A6E65"/>
          <w:sz w:val="18"/>
        </w:rPr>
        <w:t>Meta Ads Policies · high</w:t>
      </w:r>
    </w:p>
    <w:p>
      <w:pPr>
        <w:spacing w:after="40" w:before="0" w:line="276" w:lineRule="auto"/>
      </w:pPr>
      <w:r>
        <w:rPr>
          <w:rFonts w:ascii="Calibri" w:hAnsi="Calibri" w:eastAsia="Calibri"/>
          <w:b w:val="0"/>
          <w:i w:val="0"/>
          <w:color w:val="1A1613"/>
          <w:sz w:val="20"/>
        </w:rPr>
        <w:t>Second-person plus financial status is treated as a personal-attribute claim. Meta OCR-reads the landing hero as strictly as the ad.</w:t>
      </w:r>
    </w:p>
    <w:p>
      <w:pPr>
        <w:spacing w:after="160" w:before="0" w:line="276" w:lineRule="auto"/>
      </w:pPr>
      <w:r>
        <w:rPr>
          <w:rFonts w:ascii="Calibri" w:hAnsi="Calibri" w:eastAsia="Calibri"/>
          <w:b w:val="0"/>
          <w:i/>
          <w:color w:val="7A6E65"/>
          <w:sz w:val="20"/>
        </w:rPr>
        <w:t>“Get Your Cashflow Sorted Today / Use your Reece trade history / Assessment based on your trading history”</w:t>
      </w:r>
    </w:p>
    <w:p>
      <w:pPr>
        <w:spacing w:after="40" w:before="120" w:line="276" w:lineRule="auto"/>
      </w:pPr>
      <w:r>
        <w:rPr>
          <w:rFonts w:ascii="Calibri" w:hAnsi="Calibri" w:eastAsia="Calibri"/>
          <w:b/>
          <w:i w:val="0"/>
          <w:color w:val="1A1613"/>
          <w:sz w:val="22"/>
        </w:rPr>
        <w:t>3.  Absolute funding and approval timing</w:t>
      </w:r>
    </w:p>
    <w:p>
      <w:pPr>
        <w:spacing w:after="40" w:before="0" w:line="276" w:lineRule="auto"/>
      </w:pPr>
      <w:r>
        <w:rPr>
          <w:rFonts w:ascii="Calibri" w:hAnsi="Calibri" w:eastAsia="Calibri"/>
          <w:b w:val="0"/>
          <w:i w:val="0"/>
          <w:color w:val="7A6E65"/>
          <w:sz w:val="18"/>
        </w:rPr>
        <w:t>Finance Ads Policies · high</w:t>
      </w:r>
    </w:p>
    <w:p>
      <w:pPr>
        <w:spacing w:after="40" w:before="0" w:line="276" w:lineRule="auto"/>
      </w:pPr>
      <w:r>
        <w:rPr>
          <w:rFonts w:ascii="Calibri" w:hAnsi="Calibri" w:eastAsia="Calibri"/>
          <w:b w:val="0"/>
          <w:i w:val="0"/>
          <w:color w:val="1A1613"/>
          <w:sz w:val="20"/>
        </w:rPr>
        <w:t>Unqualified speed or certainty claims are a common reject bucket for credit ads.</w:t>
      </w:r>
    </w:p>
    <w:p>
      <w:pPr>
        <w:spacing w:after="160" w:before="0" w:line="276" w:lineRule="auto"/>
      </w:pPr>
      <w:r>
        <w:rPr>
          <w:rFonts w:ascii="Calibri" w:hAnsi="Calibri" w:eastAsia="Calibri"/>
          <w:b w:val="0"/>
          <w:i/>
          <w:color w:val="7A6E65"/>
          <w:sz w:val="20"/>
        </w:rPr>
        <w:t>“pre-approval today, funds within 48 hours / Approval in about an hour / ~1hr decision / Apply in 3 minutes”</w:t>
      </w:r>
    </w:p>
    <w:p>
      <w:pPr>
        <w:spacing w:after="40" w:before="120" w:line="276" w:lineRule="auto"/>
      </w:pPr>
      <w:r>
        <w:rPr>
          <w:rFonts w:ascii="Calibri" w:hAnsi="Calibri" w:eastAsia="Calibri"/>
          <w:b/>
          <w:i w:val="0"/>
          <w:color w:val="1A1613"/>
          <w:sz w:val="22"/>
        </w:rPr>
        <w:t>4.  Bank comparison and process over-claim</w:t>
      </w:r>
    </w:p>
    <w:p>
      <w:pPr>
        <w:spacing w:after="40" w:before="0" w:line="276" w:lineRule="auto"/>
      </w:pPr>
      <w:r>
        <w:rPr>
          <w:rFonts w:ascii="Calibri" w:hAnsi="Calibri" w:eastAsia="Calibri"/>
          <w:b w:val="0"/>
          <w:i w:val="0"/>
          <w:color w:val="7A6E65"/>
          <w:sz w:val="18"/>
        </w:rPr>
        <w:t>ASIC finance rules · high</w:t>
      </w:r>
    </w:p>
    <w:p>
      <w:pPr>
        <w:spacing w:after="40" w:before="0" w:line="276" w:lineRule="auto"/>
      </w:pPr>
      <w:r>
        <w:rPr>
          <w:rFonts w:ascii="Calibri" w:hAnsi="Calibri" w:eastAsia="Calibri"/>
          <w:b w:val="0"/>
          <w:i w:val="0"/>
          <w:color w:val="1A1613"/>
          <w:sz w:val="20"/>
        </w:rPr>
        <w:t>Comparative timing must be fair and substantiated. Fine print cannot save a headline.</w:t>
      </w:r>
    </w:p>
    <w:p>
      <w:pPr>
        <w:spacing w:after="160" w:before="0" w:line="276" w:lineRule="auto"/>
      </w:pPr>
      <w:r>
        <w:rPr>
          <w:rFonts w:ascii="Calibri" w:hAnsi="Calibri" w:eastAsia="Calibri"/>
          <w:b w:val="0"/>
          <w:i/>
          <w:color w:val="7A6E65"/>
          <w:sz w:val="20"/>
        </w:rPr>
        <w:t>“Your bank takes weeks. Laddr takes minutes.”</w:t>
      </w:r>
    </w:p>
    <w:p>
      <w:pPr>
        <w:spacing w:after="40" w:before="120" w:line="276" w:lineRule="auto"/>
      </w:pPr>
      <w:r>
        <w:rPr>
          <w:rFonts w:ascii="Calibri" w:hAnsi="Calibri" w:eastAsia="Calibri"/>
          <w:b/>
          <w:i w:val="0"/>
          <w:color w:val="1A1613"/>
          <w:sz w:val="22"/>
        </w:rPr>
        <w:t>5.  Matches patterns currently rejecting finance ads</w:t>
      </w:r>
    </w:p>
    <w:p>
      <w:pPr>
        <w:spacing w:after="40" w:before="0" w:line="276" w:lineRule="auto"/>
      </w:pPr>
      <w:r>
        <w:rPr>
          <w:rFonts w:ascii="Calibri" w:hAnsi="Calibri" w:eastAsia="Calibri"/>
          <w:b w:val="0"/>
          <w:i w:val="0"/>
          <w:color w:val="7A6E65"/>
          <w:sz w:val="18"/>
        </w:rPr>
        <w:t>Reddit + X threads · medium</w:t>
      </w:r>
    </w:p>
    <w:p>
      <w:pPr>
        <w:spacing w:after="40" w:before="0" w:line="276" w:lineRule="auto"/>
      </w:pPr>
      <w:r>
        <w:rPr>
          <w:rFonts w:ascii="Calibri" w:hAnsi="Calibri" w:eastAsia="Calibri"/>
          <w:b w:val="0"/>
          <w:i w:val="0"/>
          <w:color w:val="1A1613"/>
          <w:sz w:val="20"/>
        </w:rPr>
        <w:t>Advertiser reports through 2026 keep citing these as auto-reject triggers, especially after prior account restrictions.</w:t>
      </w:r>
    </w:p>
    <w:p>
      <w:pPr>
        <w:spacing w:after="160" w:before="0" w:line="276" w:lineRule="auto"/>
      </w:pPr>
      <w:r>
        <w:rPr>
          <w:rFonts w:ascii="Calibri" w:hAnsi="Calibri" w:eastAsia="Calibri"/>
          <w:b w:val="0"/>
          <w:i/>
          <w:color w:val="7A6E65"/>
          <w:sz w:val="20"/>
        </w:rPr>
        <w:t>“Problem-first questions, you-language, and hour/today claims”</w:t>
      </w:r>
    </w:p>
    <w:p>
      <w:pPr>
        <w:spacing w:after="160" w:before="320" w:line="276" w:lineRule="auto"/>
      </w:pPr>
      <w:r>
        <w:rPr>
          <w:rFonts w:ascii="Calibri" w:hAnsi="Calibri" w:eastAsia="Calibri"/>
          <w:b/>
          <w:i w:val="0"/>
          <w:color w:val="3D2B1F"/>
          <w:sz w:val="28"/>
        </w:rPr>
        <w:t>Landing page</w:t>
      </w:r>
    </w:p>
    <w:p>
      <w:pPr>
        <w:spacing w:after="120" w:before="0" w:line="276" w:lineRule="auto"/>
      </w:pPr>
      <w:r>
        <w:rPr>
          <w:rFonts w:ascii="Calibri" w:hAnsi="Calibri" w:eastAsia="Calibri"/>
          <w:b w:val="0"/>
          <w:i w:val="0"/>
          <w:color w:val="7A6E65"/>
          <w:sz w:val="20"/>
        </w:rPr>
        <w:t>https://laddr.com.au/get-pre-approved</w:t>
      </w:r>
    </w:p>
    <w:p>
      <w:pPr>
        <w:spacing w:after="120" w:before="0" w:line="276" w:lineRule="auto"/>
      </w:pPr>
      <w:r>
        <w:rPr>
          <w:rFonts w:ascii="Calibri" w:hAnsi="Calibri" w:eastAsia="Calibri"/>
          <w:b w:val="0"/>
          <w:i w:val="0"/>
          <w:color w:val="1A1613"/>
          <w:sz w:val="22"/>
        </w:rPr>
        <w:t>Meta reviews the first fold as strictly as the ad. Footer-only disclaimers will not save a hero that over-claims.</w:t>
      </w:r>
    </w:p>
    <w:p>
      <w:pPr>
        <w:pStyle w:val="ListNumber"/>
        <w:spacing w:after="80" w:before="0" w:line="276" w:lineRule="auto"/>
      </w:pPr>
      <w:r>
        <w:rPr>
          <w:rFonts w:ascii="Calibri" w:hAnsi="Calibri" w:eastAsia="Calibri"/>
          <w:b w:val="0"/>
          <w:i w:val="0"/>
          <w:color w:val="1A1613"/>
          <w:sz w:val="22"/>
        </w:rPr>
        <w:t>Hero: “Eligible Reece trade customers can apply for a Laddr line of credit up to $250k.” Do not lead with “Get Your Cashflow Sorted Today”.</w:t>
      </w:r>
    </w:p>
    <w:p>
      <w:pPr>
        <w:pStyle w:val="ListNumber"/>
        <w:spacing w:after="80" w:before="0" w:line="276" w:lineRule="auto"/>
      </w:pPr>
      <w:r>
        <w:rPr>
          <w:rFonts w:ascii="Calibri" w:hAnsi="Calibri" w:eastAsia="Calibri"/>
          <w:b w:val="0"/>
          <w:i w:val="0"/>
          <w:color w:val="1A1613"/>
          <w:sz w:val="22"/>
        </w:rPr>
        <w:t>Replace “your Reece trade history” with “Reece trading history”. Drop “your cashflow”.</w:t>
      </w:r>
    </w:p>
    <w:p>
      <w:pPr>
        <w:pStyle w:val="ListNumber"/>
        <w:spacing w:after="80" w:before="0" w:line="276" w:lineRule="auto"/>
      </w:pPr>
      <w:r>
        <w:rPr>
          <w:rFonts w:ascii="Calibri" w:hAnsi="Calibri" w:eastAsia="Calibri"/>
          <w:b w:val="0"/>
          <w:i w:val="0"/>
          <w:color w:val="1A1613"/>
          <w:sz w:val="22"/>
        </w:rPr>
        <w:t>Soften “Approval in about an hour”, “~1hr decision”, “funds within 48 hours”, and “Apply in 3 minutes” to “Pre-approval available” / “Timeframes vary with assessment”.</w:t>
      </w:r>
    </w:p>
    <w:p>
      <w:pPr>
        <w:pStyle w:val="ListNumber"/>
        <w:spacing w:after="80" w:before="0" w:line="276" w:lineRule="auto"/>
      </w:pPr>
      <w:r>
        <w:rPr>
          <w:rFonts w:ascii="Calibri" w:hAnsi="Calibri" w:eastAsia="Calibri"/>
          <w:b w:val="0"/>
          <w:i w:val="0"/>
          <w:color w:val="1A1613"/>
          <w:sz w:val="22"/>
        </w:rPr>
        <w:t>Remove “Your bank takes weeks. Laddr takes minutes.”</w:t>
      </w:r>
    </w:p>
    <w:p>
      <w:pPr>
        <w:pStyle w:val="ListNumber"/>
        <w:spacing w:after="80" w:before="0" w:line="276" w:lineRule="auto"/>
      </w:pPr>
      <w:r>
        <w:rPr>
          <w:rFonts w:ascii="Calibri" w:hAnsi="Calibri" w:eastAsia="Calibri"/>
          <w:b w:val="0"/>
          <w:i w:val="0"/>
          <w:color w:val="1A1613"/>
          <w:sz w:val="22"/>
        </w:rPr>
        <w:t>Keep TruePillars Pty Ltd ABN 36 603 933 508 and “Eligibility criteria applies” next to the offer, not only in the footer.</w:t>
      </w:r>
    </w:p>
    <w:p>
      <w:pPr>
        <w:spacing w:after="160" w:before="320" w:line="276" w:lineRule="auto"/>
      </w:pPr>
      <w:r>
        <w:rPr>
          <w:rFonts w:ascii="Calibri" w:hAnsi="Calibri" w:eastAsia="Calibri"/>
          <w:b/>
          <w:i w:val="0"/>
          <w:color w:val="3D2B1F"/>
          <w:sz w:val="28"/>
        </w:rPr>
        <w:t>Recommended next steps</w:t>
      </w:r>
    </w:p>
    <w:p>
      <w:pPr>
        <w:pStyle w:val="ListNumber"/>
        <w:spacing w:after="80" w:before="0" w:line="276" w:lineRule="auto"/>
      </w:pPr>
      <w:r>
        <w:rPr>
          <w:rFonts w:ascii="Calibri" w:hAnsi="Calibri" w:eastAsia="Calibri"/>
          <w:b w:val="0"/>
          <w:i w:val="0"/>
          <w:color w:val="1A1613"/>
          <w:sz w:val="22"/>
        </w:rPr>
        <w:t>Hold new Meta uploads until Business Verification is approved. The account is already restricted.</w:t>
      </w:r>
    </w:p>
    <w:p>
      <w:pPr>
        <w:pStyle w:val="ListNumber"/>
        <w:spacing w:after="80" w:before="0" w:line="276" w:lineRule="auto"/>
      </w:pPr>
      <w:r>
        <w:rPr>
          <w:rFonts w:ascii="Calibri" w:hAnsi="Calibri" w:eastAsia="Calibri"/>
          <w:b w:val="0"/>
          <w:i w:val="0"/>
          <w:color w:val="1A1613"/>
          <w:sz w:val="22"/>
        </w:rPr>
        <w:t>Every ad set: Special Ad Category → Financial products and services / Credit. Age 18+ only.</w:t>
      </w:r>
    </w:p>
    <w:p>
      <w:pPr>
        <w:pStyle w:val="ListNumber"/>
        <w:spacing w:after="80" w:before="0" w:line="276" w:lineRule="auto"/>
      </w:pPr>
      <w:r>
        <w:rPr>
          <w:rFonts w:ascii="Calibri" w:hAnsi="Calibri" w:eastAsia="Calibri"/>
          <w:b w:val="0"/>
          <w:i w:val="0"/>
          <w:color w:val="1A1613"/>
          <w:sz w:val="22"/>
        </w:rPr>
        <w:t>Replace primary text, headline, description, and on-image overlay with the recommended copy in this briefing. Do not appeal the 10 August rejects with the same ads.</w:t>
      </w:r>
    </w:p>
    <w:p>
      <w:pPr>
        <w:pStyle w:val="ListNumber"/>
        <w:spacing w:after="80" w:before="0" w:line="276" w:lineRule="auto"/>
      </w:pPr>
      <w:r>
        <w:rPr>
          <w:rFonts w:ascii="Calibri" w:hAnsi="Calibri" w:eastAsia="Calibri"/>
          <w:b w:val="0"/>
          <w:i w:val="0"/>
          <w:color w:val="1A1613"/>
          <w:sz w:val="22"/>
        </w:rPr>
        <w:t>Update laddr.com.au/get-pre-approved so the first fold matches the safer ad.</w:t>
      </w:r>
    </w:p>
    <w:p>
      <w:pPr>
        <w:pStyle w:val="ListNumber"/>
        <w:spacing w:after="80" w:before="0" w:line="276" w:lineRule="auto"/>
      </w:pPr>
      <w:r>
        <w:rPr>
          <w:rFonts w:ascii="Calibri" w:hAnsi="Calibri" w:eastAsia="Calibri"/>
          <w:b w:val="0"/>
          <w:i w:val="0"/>
          <w:color w:val="1A1613"/>
          <w:sz w:val="22"/>
        </w:rPr>
        <w:t>Resubmit only after the landing page and the ad say the same thing.</w:t>
      </w:r>
    </w:p>
    <w:p>
      <w:pPr>
        <w:spacing w:after="120" w:before="280" w:line="276" w:lineRule="auto"/>
        <w:pBdr>
          <w:bottom w:val="single" w:sz="6" w:space="1" w:color="DDD6CC"/>
        </w:pBdr>
      </w:pPr>
    </w:p>
    <w:p>
      <w:pPr>
        <w:spacing w:after="80" w:before="80" w:line="276" w:lineRule="auto"/>
      </w:pPr>
      <w:r>
        <w:rPr>
          <w:rFonts w:ascii="Calibri" w:hAnsi="Calibri" w:eastAsia="Calibri"/>
          <w:b/>
          <w:i w:val="0"/>
          <w:color w:val="7A6E65"/>
          <w:sz w:val="18"/>
        </w:rPr>
        <w:t>DISCLAIMER</w:t>
      </w:r>
    </w:p>
    <w:p>
      <w:pPr>
        <w:spacing w:after="0" w:before="0" w:line="276" w:lineRule="auto"/>
      </w:pPr>
      <w:r>
        <w:rPr>
          <w:rFonts w:ascii="Calibri" w:hAnsi="Calibri" w:eastAsia="Calibri"/>
          <w:b w:val="0"/>
          <w:i w:val="0"/>
          <w:color w:val="7A6E65"/>
          <w:sz w:val="16"/>
        </w:rPr>
        <w:t>Cruickshanks Agency is not a law firm, solicitor, barrister, or licensed legal or financial professional. This briefing is not legal, regulatory, or financial advice, and does not create a solicitor-client relationship. It is not affiliated with, endorsed by, or certified by Meta Platforms, Inc. or ASIC. Meta, ASIC, and the credit provider have final say. A rating here is not approval and is not a prediction that an ad will pass. Use at your own risk. To the maximum extent permitted by law, Cruickshanks Agency and its principals are not liable for rejected ads, account restrictions, lost media spend, lost profit, regulatory action, or any other loss arising from use of this output. Where Australian Consumer Law or other non-excludable rights apply, those rights are not excluded — only limited as that law allows.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pPr>
    <w:rPr>
      <w:rFonts w:ascii="Calibri" w:hAnsi="Calibri"/>
      <w:color w:val="1A161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